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pStyle w:val="Style_2"/>
        <w:ind/>
        <w:jc w:val="center"/>
        <w:rPr>
          <w:rFonts w:ascii="XO Thames" w:hAnsi="XO Thames"/>
          <w:sz w:val="26"/>
        </w:rPr>
      </w:pPr>
      <w:r>
        <w:rPr>
          <w:rFonts w:ascii="XO Thames" w:hAnsi="XO Thames"/>
          <w:b w:val="1"/>
          <w:sz w:val="26"/>
        </w:rPr>
        <w:t>ПОЯСНИТЕЛЬНАЯ ЗАПИСКА</w:t>
      </w:r>
    </w:p>
    <w:p w14:paraId="05000000">
      <w:pPr>
        <w:pStyle w:val="Style_2"/>
        <w:ind/>
        <w:jc w:val="center"/>
        <w:rPr>
          <w:rFonts w:ascii="XO Thames" w:hAnsi="XO Thames"/>
          <w:b w:val="1"/>
          <w:sz w:val="26"/>
        </w:rPr>
      </w:pPr>
    </w:p>
    <w:p w14:paraId="06000000">
      <w:pPr>
        <w:pStyle w:val="Style_2"/>
        <w:ind/>
        <w:jc w:val="center"/>
        <w:rPr>
          <w:rFonts w:ascii="XO Thames" w:hAnsi="XO Thames"/>
          <w:sz w:val="26"/>
        </w:rPr>
      </w:pPr>
      <w:r>
        <w:rPr>
          <w:rFonts w:ascii="XO Thames" w:hAnsi="XO Thames"/>
          <w:b w:val="1"/>
          <w:sz w:val="26"/>
        </w:rPr>
        <w:t>к отчету о приватизации государственного имущества</w:t>
      </w:r>
    </w:p>
    <w:p w14:paraId="07000000">
      <w:pPr>
        <w:pStyle w:val="Style_2"/>
        <w:ind/>
        <w:jc w:val="center"/>
        <w:rPr>
          <w:rFonts w:ascii="XO Thames" w:hAnsi="XO Thames"/>
          <w:sz w:val="26"/>
        </w:rPr>
      </w:pPr>
      <w:r>
        <w:rPr>
          <w:rFonts w:ascii="XO Thames" w:hAnsi="XO Thames"/>
          <w:b w:val="1"/>
          <w:sz w:val="26"/>
        </w:rPr>
        <w:t xml:space="preserve">Ненецкого автономного округа за 2025 год </w:t>
      </w:r>
    </w:p>
    <w:p w14:paraId="08000000">
      <w:pPr>
        <w:pStyle w:val="Style_2"/>
        <w:ind/>
        <w:jc w:val="center"/>
        <w:rPr>
          <w:rFonts w:ascii="XO Thames" w:hAnsi="XO Thames"/>
          <w:b w:val="1"/>
          <w:sz w:val="26"/>
        </w:rPr>
      </w:pPr>
    </w:p>
    <w:p w14:paraId="09000000">
      <w:pPr>
        <w:pStyle w:val="Style_2"/>
        <w:ind w:firstLine="720"/>
        <w:jc w:val="both"/>
        <w:rPr>
          <w:rFonts w:ascii="XO Thames" w:hAnsi="XO Thames"/>
          <w:sz w:val="26"/>
        </w:rPr>
      </w:pPr>
      <w:r>
        <w:rPr>
          <w:rFonts w:ascii="XO Thames" w:hAnsi="XO Thames"/>
          <w:sz w:val="26"/>
        </w:rPr>
        <w:t>Согласно пункту 3 части 1 статьи 3 закона Ненецкого автономного округа</w:t>
      </w:r>
      <w:r>
        <w:rPr>
          <w:rFonts w:ascii="XO Thames" w:hAnsi="XO Thames"/>
          <w:sz w:val="26"/>
        </w:rPr>
        <w:br/>
      </w:r>
      <w:r>
        <w:rPr>
          <w:rFonts w:ascii="XO Thames" w:hAnsi="XO Thames"/>
          <w:sz w:val="26"/>
        </w:rPr>
        <w:t xml:space="preserve">от 21.06.2007 № 76-оз «О приватизации государственного имущества Ненецкого автономного округа» (далее – Закон № 76-оз) к полномочиям Собрания депутатов Ненецкого автономного округа относится рассмотрение отчета о результатах приватизации государственного имущества за прошедший год. </w:t>
      </w:r>
    </w:p>
    <w:p w14:paraId="0A000000">
      <w:pPr>
        <w:pStyle w:val="Style_2"/>
        <w:ind w:firstLine="720"/>
        <w:jc w:val="both"/>
        <w:rPr>
          <w:rFonts w:ascii="XO Thames" w:hAnsi="XO Thames"/>
          <w:sz w:val="26"/>
        </w:rPr>
      </w:pPr>
      <w:r>
        <w:rPr>
          <w:rFonts w:ascii="XO Thames" w:hAnsi="XO Thames"/>
          <w:sz w:val="26"/>
        </w:rPr>
        <w:t>В соответствии с п</w:t>
      </w:r>
      <w:r>
        <w:rPr>
          <w:rFonts w:ascii="XO Thames" w:hAnsi="XO Thames"/>
          <w:sz w:val="26"/>
        </w:rPr>
        <w:t>унктом</w:t>
      </w:r>
      <w:r>
        <w:rPr>
          <w:rFonts w:ascii="XO Thames" w:hAnsi="XO Thames"/>
          <w:sz w:val="26"/>
        </w:rPr>
        <w:t xml:space="preserve"> </w:t>
      </w:r>
      <w:r>
        <w:rPr>
          <w:rFonts w:ascii="XO Thames" w:hAnsi="XO Thames"/>
          <w:sz w:val="26"/>
        </w:rPr>
        <w:t xml:space="preserve">6 части </w:t>
      </w:r>
      <w:r>
        <w:rPr>
          <w:rFonts w:ascii="XO Thames" w:hAnsi="XO Thames"/>
          <w:sz w:val="26"/>
        </w:rPr>
        <w:t>2 ст</w:t>
      </w:r>
      <w:r>
        <w:rPr>
          <w:rFonts w:ascii="XO Thames" w:hAnsi="XO Thames"/>
          <w:sz w:val="26"/>
        </w:rPr>
        <w:t>атьи</w:t>
      </w:r>
      <w:r>
        <w:rPr>
          <w:rFonts w:ascii="XO Thames" w:hAnsi="XO Thames"/>
          <w:sz w:val="26"/>
        </w:rPr>
        <w:t xml:space="preserve"> 36 закона Ненецкого автономного округа от 24.12.2007 №</w:t>
      </w:r>
      <w:r>
        <w:rPr>
          <w:rFonts w:ascii="XO Thames" w:hAnsi="XO Thames"/>
          <w:spacing w:val="0"/>
          <w:sz w:val="26"/>
        </w:rPr>
        <w:t> </w:t>
      </w:r>
      <w:r>
        <w:rPr>
          <w:rFonts w:ascii="XO Thames" w:hAnsi="XO Thames"/>
          <w:sz w:val="26"/>
        </w:rPr>
        <w:t>177-оз «О бюджетном процессе в Ненецком автономном округе»</w:t>
      </w:r>
      <w:r>
        <w:rPr>
          <w:rFonts w:ascii="XO Thames" w:hAnsi="XO Thames"/>
          <w:sz w:val="26"/>
        </w:rPr>
        <w:t xml:space="preserve">, </w:t>
      </w:r>
      <w:r>
        <w:rPr>
          <w:rFonts w:ascii="XO Thames" w:hAnsi="XO Thames"/>
          <w:sz w:val="26"/>
        </w:rPr>
        <w:t>со статьей 6 Закона № 76-оз губернатор Ненецкого автономного округа одновременно с внесением проекта закона Ненецкого автономного округа</w:t>
      </w:r>
      <w:r>
        <w:rPr>
          <w:rFonts w:ascii="XO Thames" w:hAnsi="XO Thames"/>
          <w:sz w:val="26"/>
        </w:rPr>
        <w:br/>
      </w:r>
      <w:r>
        <w:rPr>
          <w:rFonts w:ascii="XO Thames" w:hAnsi="XO Thames"/>
          <w:sz w:val="26"/>
        </w:rPr>
        <w:t>об исполнении окружного бюджета за прошедший год представляет в Собрание депутатов Ненецкого автономного округа отчет о результатах приватизации государственного имущества за прошедший год, включающий перечни приватизированных в прошедшем году имущественных комплексов окружных государственных унитарных предприятий, акций акционерных обществ и иного государственного имущества с указанием способа, сроков и цены сделки приватизации государственного имущества.</w:t>
      </w:r>
    </w:p>
    <w:p w14:paraId="0B000000">
      <w:pPr>
        <w:ind w:firstLine="709" w:right="-1"/>
        <w:jc w:val="both"/>
        <w:rPr>
          <w:rFonts w:ascii="XO Thames" w:hAnsi="XO Thames"/>
          <w:sz w:val="26"/>
        </w:rPr>
      </w:pPr>
      <w:r>
        <w:rPr>
          <w:rStyle w:val="Style_2_ch"/>
          <w:rFonts w:ascii="XO Thames" w:hAnsi="XO Thames"/>
          <w:sz w:val="26"/>
        </w:rPr>
        <w:t>В соответствии с постановлениями Администрации Ненецкого автономного округа от 06.06.2024 №</w:t>
      </w:r>
      <w:r>
        <w:rPr>
          <w:rFonts w:ascii="XO Thames" w:hAnsi="XO Thames"/>
          <w:spacing w:val="0"/>
          <w:sz w:val="26"/>
        </w:rPr>
        <w:t> </w:t>
      </w:r>
      <w:r>
        <w:rPr>
          <w:rStyle w:val="Style_2_ch"/>
          <w:rFonts w:ascii="XO Thames" w:hAnsi="XO Thames"/>
          <w:sz w:val="26"/>
        </w:rPr>
        <w:t>144-п «Об утверждении Порядка формирования</w:t>
      </w:r>
      <w:r>
        <w:rPr>
          <w:rStyle w:val="Style_2_ch"/>
          <w:rFonts w:ascii="XO Thames" w:hAnsi="XO Thames"/>
          <w:sz w:val="26"/>
        </w:rPr>
        <w:br/>
      </w:r>
      <w:r>
        <w:rPr>
          <w:rStyle w:val="Style_2_ch"/>
          <w:rFonts w:ascii="XO Thames" w:hAnsi="XO Thames"/>
          <w:sz w:val="26"/>
        </w:rPr>
        <w:t xml:space="preserve">и утверждения перечня государственного имущества Ненецкого автономного округа, приватизация которого осуществляется без включения в прогнозный план (программу) приватизации государственного имущества Ненецкого автономного округа на плановый период, </w:t>
      </w:r>
      <w:r>
        <w:rPr>
          <w:rStyle w:val="Style_2_ch"/>
          <w:rFonts w:ascii="XO Thames" w:hAnsi="XO Thames"/>
          <w:sz w:val="26"/>
        </w:rPr>
        <w:t>а также внесения изменений в указанный перечень</w:t>
      </w:r>
      <w:r>
        <w:rPr>
          <w:rStyle w:val="Style_2_ch"/>
          <w:rFonts w:ascii="XO Thames" w:hAnsi="XO Thames"/>
          <w:sz w:val="26"/>
        </w:rPr>
        <w:br/>
      </w:r>
      <w:r>
        <w:rPr>
          <w:rStyle w:val="Style_2_ch"/>
          <w:rFonts w:ascii="XO Thames" w:hAnsi="XO Thames"/>
          <w:sz w:val="26"/>
        </w:rPr>
        <w:t xml:space="preserve">и о внесении изменений </w:t>
      </w:r>
      <w:r>
        <w:rPr>
          <w:rStyle w:val="Style_2_ch"/>
          <w:rFonts w:ascii="XO Thames" w:hAnsi="XO Thames"/>
          <w:sz w:val="26"/>
        </w:rPr>
        <w:t xml:space="preserve">в постановление Администрации Ненецкого автономного округа от 16.09.2016 № 300-п» и от 10.10.2024 № 231-п «Об утверждении перечня государственного имущества Ненецкого автономного округа, подлежащего приватизации в 2025 году» в перечень государственного имущества </w:t>
      </w:r>
      <w:r>
        <w:rPr>
          <w:rStyle w:val="Style_2_ch"/>
          <w:rFonts w:ascii="XO Thames" w:hAnsi="XO Thames"/>
          <w:sz w:val="26"/>
        </w:rPr>
        <w:t>Ненецкого автономного округа</w:t>
      </w:r>
      <w:r>
        <w:rPr>
          <w:rStyle w:val="Style_2_ch"/>
          <w:rFonts w:ascii="XO Thames" w:hAnsi="XO Thames"/>
          <w:sz w:val="26"/>
        </w:rPr>
        <w:t>, подлежащего приватизации, включен объект незавершенного строительства, кадастровый номер 83:00:040013:228, местоположение: Ненецкий автономный округ, муниципальный район Заполярный район, сельское поселение Тельвисочный сельсовет, деревня Устье, улица Пустозерская, сооружение 2, степень готовности объекта незавершенного строительства: 70%, площадь застройки 248 кв.м., проектируемое назначение: нежилое, РНГИ 211200001084 (далее – Имущество).</w:t>
      </w:r>
    </w:p>
    <w:p w14:paraId="0C000000">
      <w:pPr>
        <w:ind w:firstLine="709" w:right="-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Согласно статье 12 </w:t>
      </w:r>
      <w:r>
        <w:rPr>
          <w:rFonts w:ascii="Times New Roman" w:hAnsi="Times New Roman"/>
          <w:sz w:val="26"/>
        </w:rPr>
        <w:t xml:space="preserve">Федерального </w:t>
      </w:r>
      <w:r>
        <w:rPr>
          <w:rFonts w:ascii="Times New Roman" w:hAnsi="Times New Roman"/>
          <w:sz w:val="26"/>
        </w:rPr>
        <w:t xml:space="preserve">закона </w:t>
      </w:r>
      <w:r>
        <w:rPr>
          <w:rFonts w:ascii="Times New Roman" w:hAnsi="Times New Roman"/>
          <w:sz w:val="26"/>
        </w:rPr>
        <w:t xml:space="preserve">от 21.12.2001 </w:t>
      </w:r>
      <w:r>
        <w:rPr>
          <w:rFonts w:ascii="Times New Roman" w:hAnsi="Times New Roman"/>
          <w:sz w:val="26"/>
        </w:rPr>
        <w:t>№</w:t>
      </w:r>
      <w:r>
        <w:rPr>
          <w:rFonts w:ascii="XO Thames" w:hAnsi="XO Thames"/>
          <w:spacing w:val="0"/>
          <w:sz w:val="26"/>
        </w:rPr>
        <w:t> </w:t>
      </w:r>
      <w:r>
        <w:rPr>
          <w:rFonts w:ascii="Times New Roman" w:hAnsi="Times New Roman"/>
          <w:sz w:val="26"/>
        </w:rPr>
        <w:t>178-ФЗ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«</w:t>
      </w:r>
      <w:r>
        <w:rPr>
          <w:rFonts w:ascii="Times New Roman" w:hAnsi="Times New Roman"/>
          <w:sz w:val="26"/>
        </w:rPr>
        <w:t>О приватизации государствен</w:t>
      </w:r>
      <w:r>
        <w:rPr>
          <w:rFonts w:ascii="Times New Roman" w:hAnsi="Times New Roman"/>
          <w:sz w:val="26"/>
        </w:rPr>
        <w:t>ного и муниципального имущества» (далее – Федеральный закон №</w:t>
      </w:r>
      <w:r>
        <w:rPr>
          <w:rFonts w:ascii="XO Thames" w:hAnsi="XO Thames"/>
          <w:spacing w:val="0"/>
          <w:sz w:val="26"/>
        </w:rPr>
        <w:t> </w:t>
      </w:r>
      <w:r>
        <w:rPr>
          <w:rFonts w:ascii="Times New Roman" w:hAnsi="Times New Roman"/>
          <w:sz w:val="26"/>
        </w:rPr>
        <w:t>178-ФЗ)</w:t>
      </w:r>
      <w:r>
        <w:rPr>
          <w:rFonts w:ascii="Times New Roman" w:hAnsi="Times New Roman"/>
          <w:sz w:val="26"/>
        </w:rPr>
        <w:t xml:space="preserve"> начальная цена подлежащего приватизации государственного </w:t>
      </w:r>
      <w:r>
        <w:rPr>
          <w:rFonts w:ascii="Times New Roman" w:hAnsi="Times New Roman"/>
          <w:sz w:val="26"/>
        </w:rPr>
        <w:t xml:space="preserve">или муниципального имущества устанавливается в случаях, предусмотренных </w:t>
      </w:r>
      <w:r>
        <w:rPr>
          <w:rFonts w:ascii="Times New Roman" w:hAnsi="Times New Roman"/>
          <w:sz w:val="26"/>
        </w:rPr>
        <w:t xml:space="preserve">Федеральным </w:t>
      </w:r>
      <w:r>
        <w:rPr>
          <w:rFonts w:ascii="Times New Roman" w:hAnsi="Times New Roman"/>
          <w:sz w:val="26"/>
        </w:rPr>
        <w:t>законом</w:t>
      </w:r>
      <w:r>
        <w:rPr>
          <w:rFonts w:ascii="Times New Roman" w:hAnsi="Times New Roman"/>
          <w:sz w:val="26"/>
        </w:rPr>
        <w:t xml:space="preserve">, </w:t>
      </w:r>
      <w:r>
        <w:rPr>
          <w:rFonts w:ascii="Times New Roman" w:hAnsi="Times New Roman"/>
          <w:sz w:val="26"/>
        </w:rPr>
        <w:t>в соответствии с законодательством Российской Федерации, регулирующим оценочную деятельность, при условии,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что со дня составления отчета об оценке объекта оценки до дня размещения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на официальном са</w:t>
      </w:r>
      <w:r>
        <w:rPr>
          <w:rFonts w:ascii="Times New Roman" w:hAnsi="Times New Roman"/>
          <w:sz w:val="26"/>
        </w:rPr>
        <w:t>йте в сети «Интернет»</w:t>
      </w:r>
      <w:r>
        <w:rPr>
          <w:rFonts w:ascii="Times New Roman" w:hAnsi="Times New Roman"/>
          <w:sz w:val="26"/>
        </w:rPr>
        <w:t xml:space="preserve"> информационного сообщения о продаже государственного </w:t>
      </w:r>
      <w:r>
        <w:rPr>
          <w:rFonts w:ascii="Times New Roman" w:hAnsi="Times New Roman"/>
          <w:sz w:val="26"/>
        </w:rPr>
        <w:t>или муниципального имущества прошло не более чем шесть месяцев.</w:t>
      </w:r>
    </w:p>
    <w:p w14:paraId="0D000000">
      <w:pPr>
        <w:pStyle w:val="Style_3"/>
        <w:ind w:firstLine="709"/>
        <w:jc w:val="both"/>
        <w:rPr>
          <w:rFonts w:ascii="XO Thames" w:hAnsi="XO Thames"/>
          <w:color w:val="000000"/>
          <w:sz w:val="26"/>
        </w:rPr>
      </w:pPr>
      <w:r>
        <w:rPr>
          <w:rFonts w:ascii="Times New Roman" w:hAnsi="Times New Roman"/>
          <w:sz w:val="26"/>
        </w:rPr>
        <w:t>Начальная ц</w:t>
      </w:r>
      <w:r>
        <w:rPr>
          <w:rFonts w:ascii="Times New Roman" w:hAnsi="Times New Roman"/>
          <w:sz w:val="26"/>
        </w:rPr>
        <w:t xml:space="preserve">ена продажи </w:t>
      </w:r>
      <w:r>
        <w:rPr>
          <w:rFonts w:ascii="Times New Roman" w:hAnsi="Times New Roman"/>
          <w:sz w:val="26"/>
        </w:rPr>
        <w:t xml:space="preserve">Имущества </w:t>
      </w:r>
      <w:r>
        <w:rPr>
          <w:rFonts w:ascii="Times New Roman" w:hAnsi="Times New Roman"/>
          <w:sz w:val="26"/>
        </w:rPr>
        <w:t xml:space="preserve">определена </w:t>
      </w:r>
      <w:r>
        <w:rPr>
          <w:rFonts w:ascii="Times New Roman" w:hAnsi="Times New Roman"/>
          <w:sz w:val="26"/>
        </w:rPr>
        <w:t xml:space="preserve">независимым оценщиком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ООО «ПРОФ-ОЦЕНКА»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в порядке, установленном Федеральны</w:t>
      </w:r>
      <w:r>
        <w:rPr>
          <w:rFonts w:ascii="Times New Roman" w:hAnsi="Times New Roman"/>
          <w:sz w:val="26"/>
        </w:rPr>
        <w:t xml:space="preserve">м законом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от 29.07.1998 № 135-ФЗ «</w:t>
      </w:r>
      <w:r>
        <w:rPr>
          <w:rFonts w:ascii="Times New Roman" w:hAnsi="Times New Roman"/>
          <w:sz w:val="26"/>
        </w:rPr>
        <w:t>Об оценочной деят</w:t>
      </w:r>
      <w:r>
        <w:rPr>
          <w:rFonts w:ascii="Times New Roman" w:hAnsi="Times New Roman"/>
          <w:sz w:val="26"/>
        </w:rPr>
        <w:t xml:space="preserve">ельности в Российской Федерации»,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 xml:space="preserve">и на основании отчета </w:t>
      </w:r>
      <w:r>
        <w:rPr>
          <w:rFonts w:ascii="Times New Roman" w:hAnsi="Times New Roman"/>
          <w:sz w:val="26"/>
        </w:rPr>
        <w:t>№</w:t>
      </w:r>
      <w:r>
        <w:rPr>
          <w:rFonts w:ascii="XO Thames" w:hAnsi="XO Thames"/>
          <w:spacing w:val="0"/>
          <w:sz w:val="26"/>
        </w:rPr>
        <w:t> </w:t>
      </w:r>
      <w:r>
        <w:rPr>
          <w:rFonts w:ascii="Times New Roman" w:hAnsi="Times New Roman"/>
          <w:sz w:val="26"/>
        </w:rPr>
        <w:t>3327-25рс от 13.02.2025</w:t>
      </w:r>
      <w:r>
        <w:rPr>
          <w:rFonts w:ascii="Times New Roman" w:hAnsi="Times New Roman"/>
          <w:sz w:val="26"/>
        </w:rPr>
        <w:t xml:space="preserve"> составляет </w:t>
      </w:r>
      <w:r>
        <w:rPr>
          <w:rFonts w:ascii="Times New Roman" w:hAnsi="Times New Roman"/>
          <w:sz w:val="26"/>
        </w:rPr>
        <w:t>11</w:t>
      </w:r>
      <w:r>
        <w:rPr>
          <w:rFonts w:ascii="XO Thames" w:hAnsi="XO Thames"/>
          <w:spacing w:val="0"/>
          <w:sz w:val="26"/>
        </w:rPr>
        <w:t> </w:t>
      </w:r>
      <w:r>
        <w:rPr>
          <w:rFonts w:ascii="Times New Roman" w:hAnsi="Times New Roman"/>
          <w:sz w:val="26"/>
        </w:rPr>
        <w:t>372</w:t>
      </w:r>
      <w:r>
        <w:rPr>
          <w:rFonts w:ascii="XO Thames" w:hAnsi="XO Thames"/>
          <w:spacing w:val="0"/>
          <w:sz w:val="26"/>
        </w:rPr>
        <w:t> </w:t>
      </w:r>
      <w:r>
        <w:rPr>
          <w:rFonts w:ascii="Times New Roman" w:hAnsi="Times New Roman"/>
          <w:sz w:val="26"/>
        </w:rPr>
        <w:t>000 (</w:t>
      </w:r>
      <w:r>
        <w:rPr>
          <w:rFonts w:ascii="Times New Roman" w:hAnsi="Times New Roman"/>
          <w:sz w:val="26"/>
        </w:rPr>
        <w:t>Одиннадцать миллионов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триста семьдесят две</w:t>
      </w:r>
      <w:r>
        <w:rPr>
          <w:rFonts w:ascii="Times New Roman" w:hAnsi="Times New Roman"/>
          <w:sz w:val="26"/>
        </w:rPr>
        <w:t xml:space="preserve"> тысяч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) рублей 00 копеек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без учета НДС</w:t>
      </w:r>
      <w:r>
        <w:rPr>
          <w:rFonts w:ascii="Times New Roman" w:hAnsi="Times New Roman"/>
          <w:sz w:val="26"/>
        </w:rPr>
        <w:t>.</w:t>
      </w:r>
    </w:p>
    <w:p w14:paraId="0E000000">
      <w:pPr>
        <w:pStyle w:val="Style_3"/>
        <w:ind w:firstLine="709"/>
        <w:jc w:val="both"/>
        <w:rPr>
          <w:rFonts w:ascii="XO Thames" w:hAnsi="XO Thames"/>
          <w:color w:val="000000"/>
          <w:sz w:val="26"/>
        </w:rPr>
      </w:pPr>
      <w:r>
        <w:rPr>
          <w:rFonts w:ascii="XO Thames" w:hAnsi="XO Thames"/>
          <w:color w:val="000000"/>
          <w:sz w:val="26"/>
        </w:rPr>
        <w:t>Согласно пункту 3 части 2 статьи 3 Закона №</w:t>
      </w:r>
      <w:r>
        <w:rPr>
          <w:rFonts w:ascii="XO Thames" w:hAnsi="XO Thames"/>
          <w:color w:val="000000"/>
          <w:spacing w:val="0"/>
          <w:sz w:val="26"/>
        </w:rPr>
        <w:t> </w:t>
      </w:r>
      <w:r>
        <w:rPr>
          <w:rFonts w:ascii="XO Thames" w:hAnsi="XO Thames"/>
          <w:color w:val="000000"/>
          <w:sz w:val="26"/>
        </w:rPr>
        <w:t>76-оз к полномочиям Администрации Ненецкого автономного округа относится принятие решения</w:t>
      </w:r>
      <w:r>
        <w:rPr>
          <w:rFonts w:ascii="XO Thames" w:hAnsi="XO Thames"/>
          <w:color w:val="000000"/>
          <w:sz w:val="26"/>
        </w:rPr>
        <w:br/>
      </w:r>
      <w:r>
        <w:rPr>
          <w:rFonts w:ascii="XO Thames" w:hAnsi="XO Thames"/>
          <w:color w:val="000000"/>
          <w:sz w:val="26"/>
        </w:rPr>
        <w:t>об условиях приватизации государственного имущества округа.</w:t>
      </w:r>
    </w:p>
    <w:p w14:paraId="0F000000">
      <w:pPr>
        <w:ind w:firstLine="709" w:right="-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целях осуществления </w:t>
      </w:r>
      <w:r>
        <w:rPr>
          <w:rFonts w:ascii="Times New Roman" w:hAnsi="Times New Roman"/>
          <w:sz w:val="26"/>
        </w:rPr>
        <w:t>приватизации Имущества</w:t>
      </w:r>
      <w:r>
        <w:rPr>
          <w:rFonts w:ascii="Times New Roman" w:hAnsi="Times New Roman"/>
          <w:sz w:val="26"/>
        </w:rPr>
        <w:t xml:space="preserve"> в соответствии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 xml:space="preserve">с условиями, установленными распоряжением Администрации Ненецкого автономного </w:t>
      </w:r>
      <w:r>
        <w:rPr>
          <w:rFonts w:ascii="Times New Roman" w:hAnsi="Times New Roman"/>
          <w:sz w:val="26"/>
        </w:rPr>
        <w:t>округа от 11.03.2025</w:t>
      </w:r>
      <w:r>
        <w:rPr>
          <w:rFonts w:ascii="Times New Roman" w:hAnsi="Times New Roman"/>
          <w:sz w:val="26"/>
        </w:rPr>
        <w:t xml:space="preserve"> №</w:t>
      </w:r>
      <w:r>
        <w:rPr>
          <w:rFonts w:ascii="Times New Roman" w:hAnsi="Times New Roman"/>
          <w:sz w:val="26"/>
        </w:rPr>
        <w:t> </w:t>
      </w:r>
      <w:r>
        <w:rPr>
          <w:rFonts w:ascii="Times New Roman" w:hAnsi="Times New Roman"/>
          <w:sz w:val="26"/>
        </w:rPr>
        <w:t>17</w:t>
      </w:r>
      <w:r>
        <w:rPr>
          <w:rFonts w:ascii="Times New Roman" w:hAnsi="Times New Roman"/>
          <w:sz w:val="26"/>
        </w:rPr>
        <w:t>-р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«Об условиях приватизации государственного имущества Ненецкого автономного округа»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(далее – распоряжение №</w:t>
      </w:r>
      <w:r>
        <w:rPr>
          <w:rFonts w:ascii="Times New Roman" w:hAnsi="Times New Roman"/>
          <w:sz w:val="26"/>
        </w:rPr>
        <w:t> </w:t>
      </w:r>
      <w:r>
        <w:rPr>
          <w:rFonts w:ascii="Times New Roman" w:hAnsi="Times New Roman"/>
          <w:sz w:val="26"/>
        </w:rPr>
        <w:t>17</w:t>
      </w:r>
      <w:r>
        <w:rPr>
          <w:rFonts w:ascii="Times New Roman" w:hAnsi="Times New Roman"/>
          <w:sz w:val="26"/>
        </w:rPr>
        <w:t>-р),</w:t>
      </w:r>
      <w:r>
        <w:rPr>
          <w:rFonts w:ascii="Times New Roman" w:hAnsi="Times New Roman"/>
          <w:sz w:val="26"/>
        </w:rPr>
        <w:t xml:space="preserve"> в </w:t>
      </w:r>
      <w:r>
        <w:rPr>
          <w:rFonts w:ascii="Times New Roman" w:hAnsi="Times New Roman"/>
          <w:sz w:val="26"/>
        </w:rPr>
        <w:t>мае и июне</w:t>
      </w:r>
      <w:r>
        <w:rPr>
          <w:rFonts w:ascii="Times New Roman" w:hAnsi="Times New Roman"/>
          <w:sz w:val="26"/>
        </w:rPr>
        <w:t xml:space="preserve"> 2025</w:t>
      </w:r>
      <w:r>
        <w:rPr>
          <w:rFonts w:ascii="Times New Roman" w:hAnsi="Times New Roman"/>
          <w:sz w:val="26"/>
        </w:rPr>
        <w:t xml:space="preserve"> года Управлением имущественных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 xml:space="preserve">и земельных отношений Ненецкого автономного округа </w:t>
      </w:r>
      <w:r>
        <w:rPr>
          <w:rFonts w:ascii="Times New Roman" w:hAnsi="Times New Roman"/>
          <w:sz w:val="26"/>
        </w:rPr>
        <w:t xml:space="preserve">(далее – Управление) </w:t>
      </w:r>
      <w:r>
        <w:rPr>
          <w:rFonts w:ascii="Times New Roman" w:hAnsi="Times New Roman"/>
          <w:sz w:val="26"/>
        </w:rPr>
        <w:t>организованы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аукцион</w:t>
      </w:r>
      <w:r>
        <w:rPr>
          <w:rFonts w:ascii="Times New Roman" w:hAnsi="Times New Roman"/>
          <w:sz w:val="26"/>
        </w:rPr>
        <w:t>ы</w:t>
      </w:r>
      <w:r>
        <w:rPr>
          <w:rFonts w:ascii="Times New Roman" w:hAnsi="Times New Roman"/>
          <w:sz w:val="26"/>
        </w:rPr>
        <w:t xml:space="preserve"> по продаже Имущества, которые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по</w:t>
      </w:r>
      <w:r>
        <w:rPr>
          <w:rFonts w:ascii="Times New Roman" w:hAnsi="Times New Roman"/>
          <w:sz w:val="26"/>
        </w:rPr>
        <w:t xml:space="preserve"> итог</w:t>
      </w:r>
      <w:r>
        <w:rPr>
          <w:rFonts w:ascii="Times New Roman" w:hAnsi="Times New Roman"/>
          <w:sz w:val="26"/>
        </w:rPr>
        <w:t>ам</w:t>
      </w:r>
      <w:r>
        <w:rPr>
          <w:rFonts w:ascii="Times New Roman" w:hAnsi="Times New Roman"/>
          <w:sz w:val="26"/>
        </w:rPr>
        <w:t xml:space="preserve"> признан</w:t>
      </w:r>
      <w:r>
        <w:rPr>
          <w:rFonts w:ascii="Times New Roman" w:hAnsi="Times New Roman"/>
          <w:sz w:val="26"/>
        </w:rPr>
        <w:t>ы</w:t>
      </w:r>
      <w:r>
        <w:rPr>
          <w:rFonts w:ascii="Times New Roman" w:hAnsi="Times New Roman"/>
          <w:sz w:val="26"/>
        </w:rPr>
        <w:t xml:space="preserve"> несостоявшим</w:t>
      </w:r>
      <w:r>
        <w:rPr>
          <w:rFonts w:ascii="Times New Roman" w:hAnsi="Times New Roman"/>
          <w:sz w:val="26"/>
        </w:rPr>
        <w:t>ся</w:t>
      </w:r>
      <w:r>
        <w:rPr>
          <w:rFonts w:ascii="Times New Roman" w:hAnsi="Times New Roman"/>
          <w:sz w:val="26"/>
        </w:rPr>
        <w:t xml:space="preserve"> ввиду</w:t>
      </w:r>
      <w:r>
        <w:rPr>
          <w:rFonts w:ascii="Times New Roman" w:hAnsi="Times New Roman"/>
          <w:sz w:val="26"/>
        </w:rPr>
        <w:t xml:space="preserve"> отсутстви</w:t>
      </w:r>
      <w:r>
        <w:rPr>
          <w:rFonts w:ascii="Times New Roman" w:hAnsi="Times New Roman"/>
          <w:sz w:val="26"/>
        </w:rPr>
        <w:t>я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поступивших </w:t>
      </w:r>
      <w:r>
        <w:rPr>
          <w:rFonts w:ascii="Times New Roman" w:hAnsi="Times New Roman"/>
          <w:sz w:val="26"/>
        </w:rPr>
        <w:t>заявок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 xml:space="preserve"> </w:t>
      </w:r>
    </w:p>
    <w:p w14:paraId="10000000">
      <w:pPr>
        <w:ind w:firstLine="709" w:right="-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Частью 1 ст</w:t>
      </w:r>
      <w:r>
        <w:rPr>
          <w:rFonts w:ascii="Times New Roman" w:hAnsi="Times New Roman"/>
          <w:sz w:val="26"/>
        </w:rPr>
        <w:t>атьи</w:t>
      </w:r>
      <w:r>
        <w:rPr>
          <w:rFonts w:ascii="Times New Roman" w:hAnsi="Times New Roman"/>
          <w:sz w:val="26"/>
        </w:rPr>
        <w:t xml:space="preserve"> 23 Федерального закона №</w:t>
      </w:r>
      <w:r>
        <w:rPr>
          <w:rFonts w:ascii="Times New Roman" w:hAnsi="Times New Roman"/>
          <w:sz w:val="26"/>
        </w:rPr>
        <w:t> </w:t>
      </w:r>
      <w:r>
        <w:rPr>
          <w:rFonts w:ascii="Times New Roman" w:hAnsi="Times New Roman"/>
          <w:sz w:val="26"/>
        </w:rPr>
        <w:t>178-ФЗ</w:t>
      </w:r>
      <w:r>
        <w:rPr>
          <w:rFonts w:ascii="Times New Roman" w:hAnsi="Times New Roman"/>
          <w:sz w:val="26"/>
        </w:rPr>
        <w:t xml:space="preserve"> установлено,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что в случае, если аукцион по продаже государственного имущества признан несостоявшимся, продажа такого имущества осуществляется посредством публичного предложения.</w:t>
      </w:r>
    </w:p>
    <w:p w14:paraId="11000000">
      <w:pPr>
        <w:ind w:firstLine="709" w:right="-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этой связи</w:t>
      </w:r>
      <w:r>
        <w:rPr>
          <w:rFonts w:ascii="Times New Roman" w:hAnsi="Times New Roman"/>
          <w:sz w:val="26"/>
        </w:rPr>
        <w:t xml:space="preserve"> распоряжением Администрации Ненецкого автономного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 xml:space="preserve">округа от </w:t>
      </w:r>
      <w:r>
        <w:rPr>
          <w:rFonts w:ascii="Times New Roman" w:hAnsi="Times New Roman"/>
          <w:sz w:val="26"/>
        </w:rPr>
        <w:t>01.07.2025</w:t>
      </w:r>
      <w:r>
        <w:rPr>
          <w:rFonts w:ascii="Times New Roman" w:hAnsi="Times New Roman"/>
          <w:sz w:val="26"/>
        </w:rPr>
        <w:t xml:space="preserve"> №</w:t>
      </w:r>
      <w:r>
        <w:rPr>
          <w:rFonts w:ascii="Times New Roman" w:hAnsi="Times New Roman"/>
          <w:sz w:val="26"/>
        </w:rPr>
        <w:t> </w:t>
      </w:r>
      <w:r>
        <w:rPr>
          <w:rFonts w:ascii="Times New Roman" w:hAnsi="Times New Roman"/>
          <w:sz w:val="26"/>
        </w:rPr>
        <w:t>63</w:t>
      </w:r>
      <w:r>
        <w:rPr>
          <w:rFonts w:ascii="Times New Roman" w:hAnsi="Times New Roman"/>
          <w:sz w:val="26"/>
        </w:rPr>
        <w:t>-р</w:t>
      </w:r>
      <w:r>
        <w:rPr>
          <w:rFonts w:ascii="Times New Roman" w:hAnsi="Times New Roman"/>
          <w:sz w:val="26"/>
        </w:rPr>
        <w:t xml:space="preserve"> (далее – распоряжение №</w:t>
      </w:r>
      <w:r>
        <w:rPr>
          <w:rFonts w:ascii="Times New Roman" w:hAnsi="Times New Roman"/>
          <w:sz w:val="26"/>
        </w:rPr>
        <w:t> </w:t>
      </w:r>
      <w:r>
        <w:rPr>
          <w:rFonts w:ascii="Times New Roman" w:hAnsi="Times New Roman"/>
          <w:sz w:val="26"/>
        </w:rPr>
        <w:t>63</w:t>
      </w:r>
      <w:r>
        <w:rPr>
          <w:rFonts w:ascii="Times New Roman" w:hAnsi="Times New Roman"/>
          <w:sz w:val="26"/>
        </w:rPr>
        <w:t>-р)</w:t>
      </w:r>
      <w:r>
        <w:rPr>
          <w:rFonts w:ascii="Times New Roman" w:hAnsi="Times New Roman"/>
          <w:sz w:val="26"/>
        </w:rPr>
        <w:t xml:space="preserve"> в </w:t>
      </w:r>
      <w:r>
        <w:rPr>
          <w:rFonts w:ascii="Times New Roman" w:hAnsi="Times New Roman"/>
          <w:sz w:val="26"/>
        </w:rPr>
        <w:t>пункт 2</w:t>
      </w:r>
      <w:r>
        <w:rPr>
          <w:rFonts w:ascii="Times New Roman" w:hAnsi="Times New Roman"/>
          <w:sz w:val="26"/>
        </w:rPr>
        <w:t xml:space="preserve"> р</w:t>
      </w:r>
      <w:r>
        <w:rPr>
          <w:rFonts w:ascii="Times New Roman" w:hAnsi="Times New Roman"/>
          <w:sz w:val="26"/>
        </w:rPr>
        <w:t>аспоряжени</w:t>
      </w:r>
      <w:r>
        <w:rPr>
          <w:rFonts w:ascii="Times New Roman" w:hAnsi="Times New Roman"/>
          <w:sz w:val="26"/>
        </w:rPr>
        <w:t>я</w:t>
      </w:r>
      <w:r>
        <w:rPr>
          <w:rFonts w:ascii="Times New Roman" w:hAnsi="Times New Roman"/>
          <w:sz w:val="26"/>
        </w:rPr>
        <w:t xml:space="preserve"> №</w:t>
      </w:r>
      <w:r>
        <w:rPr>
          <w:rFonts w:ascii="Times New Roman" w:hAnsi="Times New Roman"/>
          <w:sz w:val="26"/>
        </w:rPr>
        <w:t> </w:t>
      </w:r>
      <w:r>
        <w:rPr>
          <w:rFonts w:ascii="Times New Roman" w:hAnsi="Times New Roman"/>
          <w:sz w:val="26"/>
        </w:rPr>
        <w:t>17</w:t>
      </w:r>
      <w:r>
        <w:rPr>
          <w:rFonts w:ascii="Times New Roman" w:hAnsi="Times New Roman"/>
          <w:sz w:val="26"/>
        </w:rPr>
        <w:t xml:space="preserve">-р внесены </w:t>
      </w:r>
      <w:r>
        <w:rPr>
          <w:rFonts w:ascii="Times New Roman" w:hAnsi="Times New Roman"/>
          <w:sz w:val="26"/>
        </w:rPr>
        <w:t xml:space="preserve">соответствующие </w:t>
      </w:r>
      <w:r>
        <w:rPr>
          <w:rFonts w:ascii="Times New Roman" w:hAnsi="Times New Roman"/>
          <w:sz w:val="26"/>
        </w:rPr>
        <w:t xml:space="preserve">изменения, </w:t>
      </w:r>
      <w:r>
        <w:rPr>
          <w:rFonts w:ascii="Times New Roman" w:hAnsi="Times New Roman"/>
          <w:sz w:val="26"/>
        </w:rPr>
        <w:t xml:space="preserve">предусматривающие </w:t>
      </w:r>
      <w:r>
        <w:rPr>
          <w:rFonts w:ascii="Times New Roman" w:hAnsi="Times New Roman"/>
          <w:sz w:val="26"/>
        </w:rPr>
        <w:t>продаж</w:t>
      </w:r>
      <w:r>
        <w:rPr>
          <w:rFonts w:ascii="Times New Roman" w:hAnsi="Times New Roman"/>
          <w:sz w:val="26"/>
        </w:rPr>
        <w:t>у</w:t>
      </w:r>
      <w:r>
        <w:rPr>
          <w:rFonts w:ascii="Times New Roman" w:hAnsi="Times New Roman"/>
          <w:sz w:val="26"/>
        </w:rPr>
        <w:t xml:space="preserve"> Имущества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посредством публичного предложения</w:t>
      </w:r>
      <w:r>
        <w:rPr>
          <w:rFonts w:ascii="Times New Roman" w:hAnsi="Times New Roman"/>
          <w:sz w:val="26"/>
        </w:rPr>
        <w:t>.</w:t>
      </w:r>
    </w:p>
    <w:p w14:paraId="12000000">
      <w:pPr>
        <w:ind w:firstLine="709" w:right="-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</w:t>
      </w:r>
      <w:r>
        <w:rPr>
          <w:rFonts w:ascii="Times New Roman" w:hAnsi="Times New Roman"/>
          <w:sz w:val="26"/>
        </w:rPr>
        <w:t>августе, сентябре</w:t>
      </w:r>
      <w:r>
        <w:rPr>
          <w:rFonts w:ascii="Times New Roman" w:hAnsi="Times New Roman"/>
          <w:sz w:val="26"/>
        </w:rPr>
        <w:t xml:space="preserve"> 2025 года </w:t>
      </w:r>
      <w:r>
        <w:rPr>
          <w:rFonts w:ascii="Times New Roman" w:hAnsi="Times New Roman"/>
          <w:sz w:val="26"/>
        </w:rPr>
        <w:t>Управлением организованы и проведены торги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посредст</w:t>
      </w:r>
      <w:r>
        <w:rPr>
          <w:rFonts w:ascii="Times New Roman" w:hAnsi="Times New Roman"/>
          <w:sz w:val="26"/>
        </w:rPr>
        <w:t>вом публичных</w:t>
      </w:r>
      <w:r>
        <w:rPr>
          <w:rFonts w:ascii="Times New Roman" w:hAnsi="Times New Roman"/>
          <w:sz w:val="26"/>
        </w:rPr>
        <w:t xml:space="preserve"> предложени</w:t>
      </w:r>
      <w:r>
        <w:rPr>
          <w:rFonts w:ascii="Times New Roman" w:hAnsi="Times New Roman"/>
          <w:sz w:val="26"/>
        </w:rPr>
        <w:t xml:space="preserve">й. По результатам электронных процедур </w:t>
      </w:r>
      <w:r>
        <w:rPr>
          <w:rFonts w:ascii="Times New Roman" w:hAnsi="Times New Roman"/>
          <w:sz w:val="26"/>
        </w:rPr>
        <w:t xml:space="preserve">торги </w:t>
      </w:r>
      <w:r>
        <w:rPr>
          <w:rFonts w:ascii="Times New Roman" w:hAnsi="Times New Roman"/>
          <w:sz w:val="26"/>
        </w:rPr>
        <w:t xml:space="preserve">также </w:t>
      </w:r>
      <w:r>
        <w:rPr>
          <w:rFonts w:ascii="Times New Roman" w:hAnsi="Times New Roman"/>
          <w:sz w:val="26"/>
        </w:rPr>
        <w:t>признаны несостоявшимися в связи</w:t>
      </w:r>
      <w:r>
        <w:rPr>
          <w:rFonts w:ascii="Times New Roman" w:hAnsi="Times New Roman"/>
          <w:sz w:val="26"/>
        </w:rPr>
        <w:t xml:space="preserve"> с отсутствием заявок.</w:t>
      </w:r>
    </w:p>
    <w:p w14:paraId="13000000">
      <w:pPr>
        <w:pStyle w:val="Style_3"/>
        <w:ind w:firstLine="709"/>
        <w:jc w:val="both"/>
        <w:rPr>
          <w:rFonts w:ascii="Times New Roman" w:hAnsi="Times New Roman"/>
          <w:sz w:val="26"/>
        </w:rPr>
      </w:pPr>
      <w:r>
        <w:rPr>
          <w:rStyle w:val="Style_2_ch"/>
          <w:rFonts w:ascii="Times New Roman" w:hAnsi="Times New Roman"/>
          <w:sz w:val="26"/>
        </w:rPr>
        <w:t>Е</w:t>
      </w:r>
      <w:r>
        <w:rPr>
          <w:rStyle w:val="Style_2_ch"/>
          <w:rFonts w:ascii="Times New Roman" w:hAnsi="Times New Roman"/>
          <w:sz w:val="26"/>
        </w:rPr>
        <w:t xml:space="preserve">сли продажа государственного имущества посредством публичного предложения не состоялась, продажа такого имущества осуществляется </w:t>
      </w:r>
      <w:r>
        <w:rPr>
          <w:rStyle w:val="Style_2_ch"/>
          <w:rFonts w:ascii="Times New Roman" w:hAnsi="Times New Roman"/>
          <w:sz w:val="26"/>
        </w:rPr>
        <w:br/>
      </w:r>
      <w:r>
        <w:rPr>
          <w:rStyle w:val="Style_2_ch"/>
          <w:rFonts w:ascii="Times New Roman" w:hAnsi="Times New Roman"/>
          <w:sz w:val="26"/>
        </w:rPr>
        <w:t>по минимально допустимой цене</w:t>
      </w:r>
      <w:r>
        <w:rPr>
          <w:rStyle w:val="Style_2_ch"/>
          <w:rFonts w:ascii="Times New Roman" w:hAnsi="Times New Roman"/>
          <w:sz w:val="26"/>
        </w:rPr>
        <w:t xml:space="preserve"> (часть 1 статьи 24 Федерального закона</w:t>
      </w:r>
      <w:r>
        <w:rPr>
          <w:rStyle w:val="Style_2_ch"/>
          <w:rFonts w:ascii="Times New Roman" w:hAnsi="Times New Roman"/>
          <w:sz w:val="26"/>
        </w:rPr>
        <w:br/>
      </w:r>
      <w:r>
        <w:rPr>
          <w:rStyle w:val="Style_2_ch"/>
          <w:rFonts w:ascii="Times New Roman" w:hAnsi="Times New Roman"/>
          <w:sz w:val="26"/>
        </w:rPr>
        <w:t>№ 178-ФЗ)</w:t>
      </w:r>
      <w:r>
        <w:rPr>
          <w:rStyle w:val="Style_2_ch"/>
          <w:rFonts w:ascii="Times New Roman" w:hAnsi="Times New Roman"/>
          <w:sz w:val="26"/>
        </w:rPr>
        <w:t xml:space="preserve">. </w:t>
      </w:r>
    </w:p>
    <w:p w14:paraId="14000000">
      <w:pPr>
        <w:pStyle w:val="Style_3"/>
        <w:ind w:firstLine="709"/>
        <w:jc w:val="both"/>
        <w:rPr>
          <w:rFonts w:ascii="XO Thames" w:hAnsi="XO Thames"/>
          <w:color w:val="000000"/>
        </w:rPr>
      </w:pPr>
      <w:r>
        <w:rPr>
          <w:rFonts w:ascii="XO Thames" w:hAnsi="XO Thames"/>
          <w:color w:val="000000"/>
          <w:sz w:val="26"/>
        </w:rPr>
        <w:t>В целях проведения продажи Имущества по минимально допустимой цене</w:t>
      </w:r>
      <w:r>
        <w:rPr>
          <w:rFonts w:ascii="XO Thames" w:hAnsi="XO Thames"/>
          <w:color w:val="000000"/>
          <w:sz w:val="26"/>
        </w:rPr>
        <w:br/>
      </w:r>
      <w:r>
        <w:rPr>
          <w:rFonts w:ascii="XO Thames" w:hAnsi="XO Thames"/>
          <w:color w:val="000000"/>
          <w:sz w:val="26"/>
        </w:rPr>
        <w:t>в условия приватизации Имущества, установленные пунктом 2 распоряжения № 17-р (в редакции распоряжения №</w:t>
      </w:r>
      <w:r>
        <w:rPr>
          <w:rFonts w:ascii="XO Thames" w:hAnsi="XO Thames"/>
          <w:color w:val="000000"/>
          <w:spacing w:val="0"/>
          <w:sz w:val="26"/>
        </w:rPr>
        <w:t> </w:t>
      </w:r>
      <w:r>
        <w:rPr>
          <w:rFonts w:ascii="XO Thames" w:hAnsi="XO Thames"/>
          <w:color w:val="000000"/>
          <w:sz w:val="26"/>
        </w:rPr>
        <w:t>63-р), распоряжением Администрации Ненецкого автономного округа от 27.11.2025 №</w:t>
      </w:r>
      <w:r>
        <w:rPr>
          <w:rFonts w:ascii="XO Thames" w:hAnsi="XO Thames"/>
          <w:color w:val="000000"/>
          <w:spacing w:val="0"/>
          <w:sz w:val="26"/>
        </w:rPr>
        <w:t> </w:t>
      </w:r>
      <w:r>
        <w:rPr>
          <w:rFonts w:ascii="XO Thames" w:hAnsi="XO Thames"/>
          <w:color w:val="000000"/>
          <w:sz w:val="26"/>
        </w:rPr>
        <w:t>124-р внесены изменения, определив следующие условия приватизации Имущества:</w:t>
      </w:r>
    </w:p>
    <w:p w14:paraId="15000000">
      <w:pPr>
        <w:ind w:firstLine="709"/>
        <w:jc w:val="both"/>
        <w:rPr>
          <w:sz w:val="26"/>
        </w:rPr>
      </w:pPr>
      <w:r>
        <w:rPr>
          <w:sz w:val="26"/>
        </w:rPr>
        <w:t>1) способ приватизации: продажа по минимально допустимой цене;</w:t>
      </w:r>
    </w:p>
    <w:p w14:paraId="16000000">
      <w:pPr>
        <w:ind w:firstLine="709"/>
        <w:jc w:val="both"/>
        <w:rPr>
          <w:sz w:val="26"/>
        </w:rPr>
      </w:pPr>
      <w:r>
        <w:rPr>
          <w:sz w:val="26"/>
        </w:rPr>
        <w:t>2) форма продажи: электронная;</w:t>
      </w:r>
    </w:p>
    <w:p w14:paraId="17000000">
      <w:pPr>
        <w:ind w:firstLine="709"/>
        <w:jc w:val="both"/>
        <w:rPr>
          <w:spacing w:val="-4"/>
          <w:sz w:val="26"/>
        </w:rPr>
      </w:pPr>
      <w:r>
        <w:rPr>
          <w:sz w:val="26"/>
        </w:rPr>
        <w:t>3) форма подачи предложений о цене: открытая;</w:t>
      </w:r>
    </w:p>
    <w:p w14:paraId="18000000">
      <w:pPr>
        <w:ind w:firstLine="709"/>
        <w:jc w:val="both"/>
        <w:rPr>
          <w:sz w:val="26"/>
        </w:rPr>
      </w:pPr>
      <w:r>
        <w:rPr>
          <w:spacing w:val="-4"/>
          <w:sz w:val="26"/>
        </w:rPr>
        <w:t>4) цена первоначального предложения: 11</w:t>
      </w:r>
      <w:r>
        <w:rPr>
          <w:rFonts w:ascii="XO Thames" w:hAnsi="XO Thames"/>
          <w:spacing w:val="-4"/>
          <w:sz w:val="26"/>
        </w:rPr>
        <w:t> </w:t>
      </w:r>
      <w:r>
        <w:rPr>
          <w:spacing w:val="-4"/>
          <w:sz w:val="26"/>
        </w:rPr>
        <w:t>372</w:t>
      </w:r>
      <w:r>
        <w:rPr>
          <w:rFonts w:ascii="XO Thames" w:hAnsi="XO Thames"/>
          <w:spacing w:val="-4"/>
          <w:sz w:val="26"/>
        </w:rPr>
        <w:t> </w:t>
      </w:r>
      <w:r>
        <w:rPr>
          <w:spacing w:val="-4"/>
          <w:sz w:val="26"/>
        </w:rPr>
        <w:t>000 (Одиннадцать миллионов триста семьдесят две тысячи) рублей 00 копеек без учета НДС</w:t>
      </w:r>
      <w:r>
        <w:rPr>
          <w:sz w:val="26"/>
        </w:rPr>
        <w:t xml:space="preserve">; </w:t>
      </w:r>
    </w:p>
    <w:p w14:paraId="19000000">
      <w:pPr>
        <w:ind w:firstLine="709"/>
        <w:jc w:val="both"/>
        <w:rPr>
          <w:sz w:val="26"/>
        </w:rPr>
      </w:pPr>
      <w:r>
        <w:rPr>
          <w:sz w:val="26"/>
        </w:rPr>
        <w:t xml:space="preserve">5) минимальная цена, по которой может быть продано имущество:  </w:t>
      </w:r>
      <w:r>
        <w:rPr>
          <w:sz w:val="26"/>
        </w:rPr>
        <w:br/>
      </w:r>
      <w:r>
        <w:rPr>
          <w:sz w:val="26"/>
        </w:rPr>
        <w:t>568 600 (Пятьсот шестьдесят восемь тысяч шестьсот) рублей 00 копеек;</w:t>
      </w:r>
    </w:p>
    <w:p w14:paraId="1A000000">
      <w:pPr>
        <w:ind w:firstLine="709"/>
        <w:jc w:val="both"/>
        <w:rPr>
          <w:sz w:val="26"/>
        </w:rPr>
      </w:pPr>
      <w:r>
        <w:rPr>
          <w:sz w:val="26"/>
        </w:rPr>
        <w:t>6) размер задатка: 113 720 (Сто тринадцать тысяч семьсот двадцать) рублей 00 копеек;</w:t>
      </w:r>
    </w:p>
    <w:p w14:paraId="1B000000">
      <w:pPr>
        <w:ind w:firstLine="709"/>
        <w:jc w:val="both"/>
        <w:rPr>
          <w:sz w:val="26"/>
        </w:rPr>
      </w:pPr>
      <w:r>
        <w:rPr>
          <w:sz w:val="26"/>
        </w:rPr>
        <w:t>7) порядок оплаты: единовременно.</w:t>
      </w:r>
    </w:p>
    <w:p w14:paraId="1C000000">
      <w:pPr>
        <w:pStyle w:val="Style_2"/>
        <w:ind w:firstLine="709"/>
        <w:jc w:val="both"/>
        <w:rPr>
          <w:rFonts w:ascii="XO Thames" w:hAnsi="XO Thames"/>
          <w:sz w:val="26"/>
        </w:rPr>
      </w:pPr>
      <w:r>
        <w:rPr>
          <w:rFonts w:ascii="XO Thames" w:hAnsi="XO Thames"/>
          <w:color w:val="000000"/>
          <w:sz w:val="26"/>
        </w:rPr>
        <w:t>По итогам организованной в 2025 году приватизации государственного имущества Ненецкого автономного округа Имущество было приватизировано путем продажи по минимально допустимой цене в 2026 году. Цена по которой продано Имущество (цена сделки) – 707</w:t>
      </w:r>
      <w:r>
        <w:rPr>
          <w:rFonts w:ascii="XO Thames" w:hAnsi="XO Thames"/>
          <w:color w:val="000000"/>
          <w:sz w:val="26"/>
        </w:rPr>
        <w:t xml:space="preserve"> 707 рублей 00 копеек. Дата заключения договора купли-продажи — 12.02.2026, дата передачи имущества — 17.02.2026. </w:t>
      </w:r>
      <w:r>
        <w:rPr>
          <w:rFonts w:ascii="XO Thames" w:hAnsi="XO Thames"/>
          <w:color w:val="000000"/>
          <w:sz w:val="26"/>
        </w:rPr>
        <w:t>Право собственности округа на Имущество прекращено 20.02.2026.</w:t>
      </w:r>
    </w:p>
    <w:p w14:paraId="1D000000">
      <w:pPr>
        <w:pStyle w:val="Style_2"/>
        <w:ind w:firstLine="720"/>
        <w:jc w:val="both"/>
        <w:rPr>
          <w:rFonts w:ascii="XO Thames" w:hAnsi="XO Thames"/>
          <w:color w:val="000000"/>
          <w:sz w:val="26"/>
        </w:rPr>
      </w:pPr>
      <w:r>
        <w:rPr>
          <w:rFonts w:ascii="XO Thames" w:hAnsi="XO Thames"/>
          <w:color w:val="000000"/>
          <w:sz w:val="26"/>
        </w:rPr>
        <w:t>С учетом вышеуказанного приватизация Имущества в 2025 году является завершенной.</w:t>
      </w:r>
    </w:p>
    <w:p w14:paraId="1E000000">
      <w:pPr>
        <w:pStyle w:val="Style_2"/>
        <w:ind w:firstLine="720"/>
        <w:jc w:val="both"/>
        <w:rPr>
          <w:rFonts w:ascii="XO Thames" w:hAnsi="XO Thames"/>
          <w:color w:val="000000"/>
          <w:sz w:val="26"/>
        </w:rPr>
      </w:pPr>
    </w:p>
    <w:sectPr>
      <w:headerReference r:id="rId2" w:type="default"/>
      <w:headerReference r:id="rId1" w:type="first"/>
      <w:type w:val="nextPage"/>
      <w:pgSz w:h="16838" w:orient="portrait" w:w="11906"/>
      <w:pgMar w:bottom="993" w:footer="0" w:gutter="0" w:header="708" w:left="1701" w:right="850" w:top="993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PT Astra Serif" w:hAnsi="PT Astra Serif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before="0"/>
      <w:ind/>
    </w:pPr>
    <w:rPr>
      <w:rFonts w:ascii="Times New Roman" w:hAnsi="Times New Roman"/>
      <w:color w:val="000000"/>
      <w:sz w:val="24"/>
    </w:rPr>
  </w:style>
  <w:style w:default="1" w:styleId="Style_2_ch" w:type="character">
    <w:name w:val="Normal"/>
    <w:link w:val="Style_2"/>
    <w:rPr>
      <w:rFonts w:ascii="Times New Roman" w:hAnsi="Times New Roman"/>
      <w:color w:val="000000"/>
      <w:sz w:val="24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ody Text"/>
    <w:basedOn w:val="Style_2"/>
    <w:link w:val="Style_6_ch"/>
    <w:pPr>
      <w:spacing w:after="140" w:before="0" w:line="276" w:lineRule="auto"/>
      <w:ind/>
    </w:pPr>
  </w:style>
  <w:style w:styleId="Style_6_ch" w:type="character">
    <w:name w:val="Body Text"/>
    <w:basedOn w:val="Style_2_ch"/>
    <w:link w:val="Style_6"/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3" w:type="paragraph">
    <w:name w:val="Текст"/>
    <w:basedOn w:val="Style_2"/>
    <w:link w:val="Style_3_ch"/>
    <w:rPr>
      <w:rFonts w:ascii="Courier New" w:hAnsi="Courier New"/>
      <w:sz w:val="20"/>
    </w:rPr>
  </w:style>
  <w:style w:styleId="Style_3_ch" w:type="character">
    <w:name w:val="Текст"/>
    <w:basedOn w:val="Style_2_ch"/>
    <w:link w:val="Style_3"/>
    <w:rPr>
      <w:rFonts w:ascii="Courier New" w:hAnsi="Courier New"/>
      <w:sz w:val="20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Колонтитул"/>
    <w:basedOn w:val="Style_2"/>
    <w:link w:val="Style_11_ch"/>
    <w:pPr>
      <w:tabs>
        <w:tab w:leader="none" w:pos="708" w:val="clear"/>
        <w:tab w:leader="none" w:pos="4819" w:val="center"/>
        <w:tab w:leader="none" w:pos="9638" w:val="right"/>
      </w:tabs>
      <w:ind/>
    </w:pPr>
  </w:style>
  <w:style w:styleId="Style_11_ch" w:type="character">
    <w:name w:val="Колонтитул"/>
    <w:basedOn w:val="Style_2_ch"/>
    <w:link w:val="Style_11"/>
  </w:style>
  <w:style w:styleId="Style_12" w:type="paragraph">
    <w:name w:val="Caption"/>
    <w:basedOn w:val="Style_2"/>
    <w:link w:val="Style_12_ch"/>
    <w:pPr>
      <w:spacing w:after="120" w:before="120"/>
      <w:ind/>
    </w:pPr>
    <w:rPr>
      <w:rFonts w:ascii="PT Astra Serif" w:hAnsi="PT Astra Serif"/>
      <w:i w:val="1"/>
      <w:sz w:val="24"/>
    </w:rPr>
  </w:style>
  <w:style w:styleId="Style_12_ch" w:type="character">
    <w:name w:val="Caption"/>
    <w:basedOn w:val="Style_2_ch"/>
    <w:link w:val="Style_12"/>
    <w:rPr>
      <w:rFonts w:ascii="PT Astra Serif" w:hAnsi="PT Astra Serif"/>
      <w:i w:val="1"/>
      <w:sz w:val="24"/>
    </w:rPr>
  </w:style>
  <w:style w:styleId="Style_13" w:type="paragraph">
    <w:name w:val="Нижний колонтитул Знак"/>
    <w:link w:val="Style_13_ch"/>
    <w:rPr>
      <w:sz w:val="24"/>
    </w:rPr>
  </w:style>
  <w:style w:styleId="Style_13_ch" w:type="character">
    <w:name w:val="Нижний колонтитул Знак"/>
    <w:link w:val="Style_13"/>
    <w:rPr>
      <w:sz w:val="24"/>
    </w:rPr>
  </w:style>
  <w:style w:styleId="Style_14" w:type="paragraph">
    <w:name w:val="Верхний колонтитул Знак"/>
    <w:link w:val="Style_14_ch"/>
    <w:rPr>
      <w:sz w:val="24"/>
    </w:rPr>
  </w:style>
  <w:style w:styleId="Style_14_ch" w:type="character">
    <w:name w:val="Верхний колонтитул Знак"/>
    <w:link w:val="Style_14"/>
    <w:rPr>
      <w:sz w:val="24"/>
    </w:rPr>
  </w:style>
  <w:style w:styleId="Style_15" w:type="paragraph">
    <w:name w:val="toc 3"/>
    <w:next w:val="Style_2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WW8Num3z0"/>
    <w:link w:val="Style_16_ch"/>
  </w:style>
  <w:style w:styleId="Style_16_ch" w:type="character">
    <w:name w:val="WW8Num3z0"/>
    <w:link w:val="Style_16"/>
  </w:style>
  <w:style w:styleId="Style_17" w:type="paragraph">
    <w:name w:val="List"/>
    <w:basedOn w:val="Style_6"/>
    <w:link w:val="Style_17_ch"/>
    <w:rPr>
      <w:rFonts w:ascii="PT Astra Serif" w:hAnsi="PT Astra Serif"/>
    </w:rPr>
  </w:style>
  <w:style w:styleId="Style_17_ch" w:type="character">
    <w:name w:val="List"/>
    <w:basedOn w:val="Style_6_ch"/>
    <w:link w:val="Style_17"/>
    <w:rPr>
      <w:rFonts w:ascii="PT Astra Serif" w:hAnsi="PT Astra Serif"/>
    </w:rPr>
  </w:style>
  <w:style w:styleId="Style_18" w:type="paragraph">
    <w:name w:val="ConsPlusNormal"/>
    <w:link w:val="Style_18_ch"/>
    <w:pPr>
      <w:widowControl w:val="1"/>
      <w:spacing w:after="0" w:before="0"/>
      <w:ind/>
    </w:pPr>
    <w:rPr>
      <w:rFonts w:ascii="Arial" w:hAnsi="Arial"/>
      <w:color w:val="000000"/>
      <w:sz w:val="20"/>
    </w:rPr>
  </w:style>
  <w:style w:styleId="Style_18_ch" w:type="character">
    <w:name w:val="ConsPlusNormal"/>
    <w:link w:val="Style_18"/>
    <w:rPr>
      <w:rFonts w:ascii="Arial" w:hAnsi="Arial"/>
      <w:color w:val="000000"/>
      <w:sz w:val="20"/>
    </w:rPr>
  </w:style>
  <w:style w:styleId="Style_19" w:type="paragraph">
    <w:name w:val="ConsPlusCell"/>
    <w:link w:val="Style_19_ch"/>
    <w:pPr>
      <w:widowControl w:val="0"/>
      <w:spacing w:after="0" w:before="0"/>
      <w:ind/>
    </w:pPr>
    <w:rPr>
      <w:rFonts w:ascii="Arial" w:hAnsi="Arial"/>
      <w:color w:val="000000"/>
      <w:sz w:val="20"/>
    </w:rPr>
  </w:style>
  <w:style w:styleId="Style_19_ch" w:type="character">
    <w:name w:val="ConsPlusCell"/>
    <w:link w:val="Style_19"/>
    <w:rPr>
      <w:rFonts w:ascii="Arial" w:hAnsi="Arial"/>
      <w:color w:val="000000"/>
      <w:sz w:val="20"/>
    </w:rPr>
  </w:style>
  <w:style w:styleId="Style_20" w:type="paragraph">
    <w:name w:val="heading 5"/>
    <w:next w:val="Style_2"/>
    <w:link w:val="Style_2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21" w:type="paragraph">
    <w:name w:val="Текст выноски"/>
    <w:basedOn w:val="Style_2"/>
    <w:link w:val="Style_21_ch"/>
    <w:rPr>
      <w:rFonts w:ascii="Tahoma" w:hAnsi="Tahoma"/>
      <w:sz w:val="16"/>
    </w:rPr>
  </w:style>
  <w:style w:styleId="Style_21_ch" w:type="character">
    <w:name w:val="Текст выноски"/>
    <w:basedOn w:val="Style_2_ch"/>
    <w:link w:val="Style_21"/>
    <w:rPr>
      <w:rFonts w:ascii="Tahoma" w:hAnsi="Tahoma"/>
      <w:sz w:val="16"/>
    </w:rPr>
  </w:style>
  <w:style w:styleId="Style_22" w:type="paragraph">
    <w:name w:val="Абзац списка"/>
    <w:basedOn w:val="Style_2"/>
    <w:link w:val="Style_22_ch"/>
    <w:pPr>
      <w:spacing w:after="200" w:before="0" w:line="276" w:lineRule="auto"/>
      <w:ind w:firstLine="0"/>
      <w:contextualSpacing w:val="1"/>
    </w:pPr>
    <w:rPr>
      <w:rFonts w:ascii="Calibri" w:hAnsi="Calibri"/>
      <w:sz w:val="22"/>
    </w:rPr>
  </w:style>
  <w:style w:styleId="Style_22_ch" w:type="character">
    <w:name w:val="Абзац списка"/>
    <w:basedOn w:val="Style_2_ch"/>
    <w:link w:val="Style_22"/>
    <w:rPr>
      <w:rFonts w:ascii="Calibri" w:hAnsi="Calibri"/>
      <w:sz w:val="22"/>
    </w:rPr>
  </w:style>
  <w:style w:styleId="Style_23" w:type="paragraph">
    <w:name w:val="Основной шрифт абзаца"/>
    <w:link w:val="Style_23_ch"/>
  </w:style>
  <w:style w:styleId="Style_23_ch" w:type="character">
    <w:name w:val="Основной шрифт абзаца"/>
    <w:link w:val="Style_23"/>
  </w:style>
  <w:style w:styleId="Style_24" w:type="paragraph">
    <w:name w:val="heading 1"/>
    <w:next w:val="Style_2"/>
    <w:link w:val="Style_2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4_ch" w:type="character">
    <w:name w:val="heading 1"/>
    <w:link w:val="Style_24"/>
    <w:rPr>
      <w:rFonts w:ascii="XO Thames" w:hAnsi="XO Thames"/>
      <w:b w:val="1"/>
      <w:sz w:val="32"/>
    </w:rPr>
  </w:style>
  <w:style w:styleId="Style_25" w:type="paragraph">
    <w:name w:val="Указатель"/>
    <w:basedOn w:val="Style_2"/>
    <w:link w:val="Style_25_ch"/>
    <w:rPr>
      <w:rFonts w:ascii="PT Astra Serif" w:hAnsi="PT Astra Serif"/>
    </w:rPr>
  </w:style>
  <w:style w:styleId="Style_25_ch" w:type="character">
    <w:name w:val="Указатель"/>
    <w:basedOn w:val="Style_2_ch"/>
    <w:link w:val="Style_25"/>
    <w:rPr>
      <w:rFonts w:ascii="PT Astra Serif" w:hAnsi="PT Astra Serif"/>
    </w:rPr>
  </w:style>
  <w:style w:styleId="Style_26" w:type="paragraph">
    <w:name w:val="Заголовок"/>
    <w:basedOn w:val="Style_2"/>
    <w:next w:val="Style_6"/>
    <w:link w:val="Style_26_ch"/>
    <w:pPr>
      <w:keepNext w:val="1"/>
      <w:spacing w:after="120" w:before="240"/>
      <w:ind/>
    </w:pPr>
    <w:rPr>
      <w:rFonts w:ascii="PT Astra Serif" w:hAnsi="PT Astra Serif"/>
      <w:sz w:val="28"/>
    </w:rPr>
  </w:style>
  <w:style w:styleId="Style_26_ch" w:type="character">
    <w:name w:val="Заголовок"/>
    <w:basedOn w:val="Style_2_ch"/>
    <w:link w:val="Style_26"/>
    <w:rPr>
      <w:rFonts w:ascii="PT Astra Serif" w:hAnsi="PT Astra Serif"/>
      <w:sz w:val="28"/>
    </w:rPr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toc 1"/>
    <w:next w:val="Style_2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Header and Footer"/>
    <w:link w:val="Style_30_ch"/>
    <w:pPr>
      <w:spacing w:line="240" w:lineRule="auto"/>
      <w:ind/>
      <w:jc w:val="both"/>
    </w:pPr>
    <w:rPr>
      <w:rFonts w:ascii="XO Thames" w:hAnsi="XO Thames"/>
      <w:sz w:val="28"/>
    </w:rPr>
  </w:style>
  <w:style w:styleId="Style_30_ch" w:type="character">
    <w:name w:val="Header and Footer"/>
    <w:link w:val="Style_30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31" w:type="paragraph">
    <w:name w:val="Текст Знак"/>
    <w:link w:val="Style_31_ch"/>
    <w:rPr>
      <w:rFonts w:ascii="Courier New" w:hAnsi="Courier New"/>
    </w:rPr>
  </w:style>
  <w:style w:styleId="Style_31_ch" w:type="character">
    <w:name w:val="Текст Знак"/>
    <w:link w:val="Style_31"/>
    <w:rPr>
      <w:rFonts w:ascii="Courier New" w:hAnsi="Courier New"/>
    </w:rPr>
  </w:style>
  <w:style w:styleId="Style_32" w:type="paragraph">
    <w:name w:val="toc 9"/>
    <w:next w:val="Style_2"/>
    <w:link w:val="Style_3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2_ch" w:type="character">
    <w:name w:val="toc 9"/>
    <w:link w:val="Style_32"/>
    <w:rPr>
      <w:rFonts w:ascii="XO Thames" w:hAnsi="XO Thames"/>
      <w:sz w:val="28"/>
    </w:rPr>
  </w:style>
  <w:style w:styleId="Style_33" w:type="paragraph">
    <w:name w:val="toc 8"/>
    <w:next w:val="Style_2"/>
    <w:link w:val="Style_3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3_ch" w:type="character">
    <w:name w:val="toc 8"/>
    <w:link w:val="Style_33"/>
    <w:rPr>
      <w:rFonts w:ascii="XO Thames" w:hAnsi="XO Thames"/>
      <w:sz w:val="28"/>
    </w:rPr>
  </w:style>
  <w:style w:styleId="Style_34" w:type="paragraph">
    <w:name w:val="toc 5"/>
    <w:next w:val="Style_2"/>
    <w:link w:val="Style_3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4_ch" w:type="character">
    <w:name w:val="toc 5"/>
    <w:link w:val="Style_34"/>
    <w:rPr>
      <w:rFonts w:ascii="XO Thames" w:hAnsi="XO Thames"/>
      <w:sz w:val="28"/>
    </w:rPr>
  </w:style>
  <w:style w:styleId="Style_35" w:type="paragraph">
    <w:name w:val="Footer"/>
    <w:basedOn w:val="Style_2"/>
    <w:link w:val="Style_35_ch"/>
    <w:pPr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35_ch" w:type="character">
    <w:name w:val="Footer"/>
    <w:basedOn w:val="Style_2_ch"/>
    <w:link w:val="Style_35"/>
  </w:style>
  <w:style w:styleId="Style_36" w:type="paragraph">
    <w:name w:val="Subtitle"/>
    <w:next w:val="Style_2"/>
    <w:link w:val="Style_3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Title"/>
    <w:next w:val="Style_2"/>
    <w:link w:val="Style_3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7_ch" w:type="character">
    <w:name w:val="Title"/>
    <w:link w:val="Style_37"/>
    <w:rPr>
      <w:rFonts w:ascii="XO Thames" w:hAnsi="XO Thames"/>
      <w:b w:val="1"/>
      <w:caps w:val="1"/>
      <w:sz w:val="40"/>
    </w:rPr>
  </w:style>
  <w:style w:styleId="Style_38" w:type="paragraph">
    <w:name w:val="heading 4"/>
    <w:next w:val="Style_2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39" w:type="paragraph">
    <w:name w:val="heading 2"/>
    <w:next w:val="Style_2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>
          <a:prstDash val="solid"/>
        </a:ln>
        <a:ln w="6350">
          <a:prstDash val="solid"/>
        </a:ln>
        <a:ln w="63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2026-04-08T05:52:28Z</dcterms:modified>
</cp:coreProperties>
</file>